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8903" w14:textId="77777777" w:rsidR="00772FA0" w:rsidRPr="00772FA0" w:rsidRDefault="00772FA0" w:rsidP="00772FA0">
      <w:pPr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772FA0">
        <w:rPr>
          <w:rFonts w:asciiTheme="majorBidi" w:eastAsia="Calibri" w:hAnsiTheme="majorBidi" w:cstheme="majorBidi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531465F" wp14:editId="6E657A75">
            <wp:simplePos x="0" y="0"/>
            <wp:positionH relativeFrom="page">
              <wp:posOffset>344285</wp:posOffset>
            </wp:positionH>
            <wp:positionV relativeFrom="paragraph">
              <wp:posOffset>679219</wp:posOffset>
            </wp:positionV>
            <wp:extent cx="1238250" cy="1238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FA0">
        <w:rPr>
          <w:rFonts w:asciiTheme="majorBidi" w:eastAsia="Calibri" w:hAnsiTheme="majorBidi" w:cstheme="majorBidi"/>
          <w:sz w:val="36"/>
          <w:szCs w:val="36"/>
        </w:rPr>
        <w:t>Муниципальное бюджетное дошкольное образовательное учреждение</w:t>
      </w:r>
    </w:p>
    <w:p w14:paraId="10DDF084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772FA0">
        <w:rPr>
          <w:rFonts w:asciiTheme="majorBidi" w:eastAsia="Calibri" w:hAnsiTheme="majorBidi" w:cstheme="majorBidi"/>
          <w:sz w:val="36"/>
          <w:szCs w:val="36"/>
        </w:rPr>
        <w:t>«Детский сад №348 «Радость»</w:t>
      </w:r>
    </w:p>
    <w:p w14:paraId="2D60A2D0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58BBCAD0" w14:textId="77777777" w:rsidR="00772FA0" w:rsidRPr="00772FA0" w:rsidRDefault="00772FA0" w:rsidP="00772FA0">
      <w:pPr>
        <w:spacing w:after="0" w:line="240" w:lineRule="auto"/>
        <w:rPr>
          <w:rFonts w:asciiTheme="majorBidi" w:eastAsia="Calibri" w:hAnsiTheme="majorBidi" w:cstheme="majorBidi"/>
          <w:sz w:val="36"/>
          <w:szCs w:val="36"/>
        </w:rPr>
      </w:pPr>
    </w:p>
    <w:p w14:paraId="37607D95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0BBE85D0" w14:textId="77777777" w:rsidR="00772FA0" w:rsidRPr="00772FA0" w:rsidRDefault="00772FA0" w:rsidP="00772FA0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772FA0">
        <w:rPr>
          <w:rFonts w:asciiTheme="majorBidi" w:eastAsia="Calibri" w:hAnsiTheme="majorBidi" w:cstheme="majorBidi"/>
          <w:b/>
          <w:sz w:val="36"/>
          <w:szCs w:val="36"/>
        </w:rPr>
        <w:t>Паспорт дидактического пособия</w:t>
      </w:r>
    </w:p>
    <w:p w14:paraId="27203762" w14:textId="77777777" w:rsidR="00772FA0" w:rsidRPr="00772FA0" w:rsidRDefault="00772FA0" w:rsidP="00772FA0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52"/>
          <w:szCs w:val="52"/>
        </w:rPr>
      </w:pPr>
      <w:r w:rsidRPr="00772FA0">
        <w:rPr>
          <w:rFonts w:asciiTheme="majorBidi" w:eastAsia="Calibri" w:hAnsiTheme="majorBidi" w:cstheme="majorBidi"/>
          <w:b/>
          <w:sz w:val="36"/>
          <w:szCs w:val="36"/>
        </w:rPr>
        <w:t xml:space="preserve"> </w:t>
      </w:r>
      <w:r w:rsidRPr="00772FA0">
        <w:rPr>
          <w:rFonts w:asciiTheme="majorBidi" w:eastAsia="Calibri" w:hAnsiTheme="majorBidi" w:cstheme="majorBidi"/>
          <w:b/>
          <w:sz w:val="52"/>
          <w:szCs w:val="52"/>
        </w:rPr>
        <w:t>«Волшебные круги»</w:t>
      </w:r>
    </w:p>
    <w:p w14:paraId="18C4B170" w14:textId="1A50F96A" w:rsidR="009462B5" w:rsidRDefault="00706EF2" w:rsidP="00706EF2">
      <w:pPr>
        <w:pStyle w:val="af1"/>
        <w:jc w:val="center"/>
        <w:rPr>
          <w:rFonts w:asciiTheme="majorBidi" w:eastAsia="Calibr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DCC3DF2" wp14:editId="668ADFA3">
            <wp:extent cx="4537908" cy="3420533"/>
            <wp:effectExtent l="0" t="0" r="0" b="8890"/>
            <wp:docPr id="527957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95" cy="346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11C9" w14:textId="77777777" w:rsidR="00706EF2" w:rsidRDefault="00706EF2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68258E90" w14:textId="77777777" w:rsidR="00706EF2" w:rsidRDefault="00706EF2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09F7FBC2" w14:textId="77777777" w:rsidR="00706EF2" w:rsidRDefault="00706EF2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5A2BDFF9" w14:textId="77777777" w:rsidR="00706EF2" w:rsidRDefault="00706EF2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410D1EF3" w14:textId="77777777" w:rsidR="00706EF2" w:rsidRDefault="00706EF2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12CAAFAB" w14:textId="037BD7A9" w:rsidR="00772FA0" w:rsidRPr="00772FA0" w:rsidRDefault="00772FA0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772FA0">
        <w:rPr>
          <w:rFonts w:asciiTheme="majorBidi" w:eastAsia="Calibri" w:hAnsiTheme="majorBidi" w:cstheme="majorBidi"/>
          <w:sz w:val="28"/>
          <w:szCs w:val="28"/>
        </w:rPr>
        <w:t>Выполнила:</w:t>
      </w:r>
    </w:p>
    <w:p w14:paraId="04C1FF07" w14:textId="77777777" w:rsidR="00772FA0" w:rsidRPr="00772FA0" w:rsidRDefault="00772FA0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21616319" w14:textId="77777777" w:rsidR="00772FA0" w:rsidRPr="00772FA0" w:rsidRDefault="00772FA0" w:rsidP="00772FA0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772FA0">
        <w:rPr>
          <w:rFonts w:asciiTheme="majorBidi" w:eastAsia="Calibri" w:hAnsiTheme="majorBidi" w:cstheme="majorBidi"/>
          <w:sz w:val="28"/>
          <w:szCs w:val="28"/>
        </w:rPr>
        <w:t>Учитель-дефектолог:Войшева Н.Р.</w:t>
      </w:r>
    </w:p>
    <w:p w14:paraId="3023685C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596766B0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6EDB62E6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72113E29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1A8AA6FA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543496DE" w14:textId="77777777" w:rsidR="00772FA0" w:rsidRP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3B6AE9FF" w14:textId="77777777" w:rsidR="002D2021" w:rsidRDefault="002D2021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008C9885" w14:textId="4DEA9535" w:rsidR="00772FA0" w:rsidRDefault="00772FA0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772FA0">
        <w:rPr>
          <w:rFonts w:asciiTheme="majorBidi" w:eastAsia="Calibri" w:hAnsiTheme="majorBidi" w:cstheme="majorBidi"/>
          <w:sz w:val="28"/>
          <w:szCs w:val="28"/>
        </w:rPr>
        <w:t>Новосибирск  2025</w:t>
      </w:r>
    </w:p>
    <w:p w14:paraId="7B4A0EC7" w14:textId="77777777" w:rsidR="002D2021" w:rsidRDefault="002D2021" w:rsidP="00772FA0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57"/>
        <w:gridCol w:w="5388"/>
      </w:tblGrid>
      <w:tr w:rsidR="00772FA0" w:rsidRPr="00772FA0" w14:paraId="4604CE3A" w14:textId="77777777" w:rsidTr="00051914">
        <w:trPr>
          <w:trHeight w:val="274"/>
        </w:trPr>
        <w:tc>
          <w:tcPr>
            <w:tcW w:w="3957" w:type="dxa"/>
          </w:tcPr>
          <w:p w14:paraId="4EA30174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 xml:space="preserve">Название </w:t>
            </w:r>
          </w:p>
        </w:tc>
        <w:tc>
          <w:tcPr>
            <w:tcW w:w="5388" w:type="dxa"/>
          </w:tcPr>
          <w:p w14:paraId="5E7B94B5" w14:textId="258A5EB8" w:rsidR="00051914" w:rsidRPr="00051914" w:rsidRDefault="00772FA0" w:rsidP="0005191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51914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«Волшебны</w:t>
            </w:r>
            <w:r w:rsidR="00706EF2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е</w:t>
            </w:r>
            <w:r w:rsidRPr="00051914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круг</w:t>
            </w:r>
            <w:r w:rsidR="00706EF2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и</w:t>
            </w:r>
            <w:r w:rsidRPr="00051914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72FA0" w:rsidRPr="00772FA0" w14:paraId="28D93C96" w14:textId="77777777" w:rsidTr="00051914">
        <w:trPr>
          <w:trHeight w:val="360"/>
        </w:trPr>
        <w:tc>
          <w:tcPr>
            <w:tcW w:w="3957" w:type="dxa"/>
          </w:tcPr>
          <w:p w14:paraId="4168652E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Автор</w:t>
            </w:r>
          </w:p>
        </w:tc>
        <w:tc>
          <w:tcPr>
            <w:tcW w:w="5388" w:type="dxa"/>
          </w:tcPr>
          <w:p w14:paraId="5CFE74F1" w14:textId="77777777" w:rsidR="00772FA0" w:rsidRPr="00051914" w:rsidRDefault="00772FA0" w:rsidP="00772FA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sz w:val="24"/>
                <w:szCs w:val="24"/>
              </w:rPr>
              <w:t>Войшева Н.Р.</w:t>
            </w:r>
          </w:p>
        </w:tc>
      </w:tr>
      <w:tr w:rsidR="00772FA0" w:rsidRPr="00772FA0" w14:paraId="384BAE61" w14:textId="77777777" w:rsidTr="002D2021">
        <w:trPr>
          <w:trHeight w:val="455"/>
        </w:trPr>
        <w:tc>
          <w:tcPr>
            <w:tcW w:w="3957" w:type="dxa"/>
          </w:tcPr>
          <w:p w14:paraId="30F603B6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5388" w:type="dxa"/>
          </w:tcPr>
          <w:p w14:paraId="68F91FF3" w14:textId="77777777" w:rsidR="00772FA0" w:rsidRPr="00051914" w:rsidRDefault="00772FA0" w:rsidP="00772FA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sz w:val="24"/>
                <w:szCs w:val="24"/>
              </w:rPr>
              <w:t>3-7 лет</w:t>
            </w:r>
          </w:p>
        </w:tc>
      </w:tr>
      <w:tr w:rsidR="00772FA0" w:rsidRPr="00772FA0" w14:paraId="7724796F" w14:textId="77777777" w:rsidTr="00183A7E">
        <w:tc>
          <w:tcPr>
            <w:tcW w:w="3957" w:type="dxa"/>
          </w:tcPr>
          <w:p w14:paraId="4A6D97CE" w14:textId="77777777" w:rsidR="00772FA0" w:rsidRPr="00051914" w:rsidRDefault="00772FA0" w:rsidP="00772FA0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5388" w:type="dxa"/>
          </w:tcPr>
          <w:p w14:paraId="69658822" w14:textId="60EA7FD3" w:rsidR="00772FA0" w:rsidRPr="00051914" w:rsidRDefault="00772FA0" w:rsidP="00772FA0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sz w:val="24"/>
                <w:szCs w:val="24"/>
              </w:rPr>
              <w:t>Речевое, социально-коммуникативное, с</w:t>
            </w:r>
            <w:r w:rsidRPr="00051914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енсо</w:t>
            </w:r>
            <w:r w:rsidR="00051914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>-</w:t>
            </w:r>
            <w:r w:rsidRPr="00051914">
              <w:rPr>
                <w:rFonts w:asciiTheme="majorBidi" w:hAnsiTheme="majorBidi" w:cstheme="majorBidi"/>
                <w:color w:val="242424"/>
                <w:sz w:val="24"/>
                <w:szCs w:val="24"/>
                <w:shd w:val="clear" w:color="auto" w:fill="FFFFFF"/>
              </w:rPr>
              <w:t xml:space="preserve"> моторное развитие</w:t>
            </w:r>
          </w:p>
        </w:tc>
      </w:tr>
      <w:tr w:rsidR="00772FA0" w:rsidRPr="00772FA0" w14:paraId="3630E277" w14:textId="77777777" w:rsidTr="00183A7E">
        <w:tc>
          <w:tcPr>
            <w:tcW w:w="3957" w:type="dxa"/>
          </w:tcPr>
          <w:p w14:paraId="4D53858B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Цель:</w:t>
            </w:r>
          </w:p>
        </w:tc>
        <w:tc>
          <w:tcPr>
            <w:tcW w:w="5388" w:type="dxa"/>
          </w:tcPr>
          <w:p w14:paraId="120DCAFC" w14:textId="155AA9E6" w:rsidR="00772FA0" w:rsidRPr="00051914" w:rsidRDefault="00772FA0" w:rsidP="002D2021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Обогащение знаний об овощах и фруктах. Развитие логического мышления, воображения, способности к формулировке предложений и описаний.</w:t>
            </w:r>
          </w:p>
        </w:tc>
      </w:tr>
      <w:tr w:rsidR="00772FA0" w:rsidRPr="00772FA0" w14:paraId="49A1F135" w14:textId="77777777" w:rsidTr="00183A7E">
        <w:tc>
          <w:tcPr>
            <w:tcW w:w="3957" w:type="dxa"/>
          </w:tcPr>
          <w:p w14:paraId="0C6CBC8F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Задачи:</w:t>
            </w:r>
          </w:p>
        </w:tc>
        <w:tc>
          <w:tcPr>
            <w:tcW w:w="5388" w:type="dxa"/>
          </w:tcPr>
          <w:p w14:paraId="428A7ECF" w14:textId="77777777" w:rsidR="00772FA0" w:rsidRPr="00051914" w:rsidRDefault="00772FA0" w:rsidP="00772FA0">
            <w:pPr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</w:pPr>
            <w:r w:rsidRPr="00051914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Научить детей различать овощи и фрукты;</w:t>
            </w:r>
          </w:p>
          <w:p w14:paraId="562FA244" w14:textId="77777777" w:rsidR="00772FA0" w:rsidRPr="00051914" w:rsidRDefault="00772FA0" w:rsidP="00772FA0">
            <w:pPr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</w:pPr>
            <w:r w:rsidRPr="00051914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развивать умение описывать предметы, составлять предложения, а затем и сиквейны;</w:t>
            </w:r>
          </w:p>
          <w:p w14:paraId="7C70E716" w14:textId="6F036267" w:rsidR="00772FA0" w:rsidRPr="00051914" w:rsidRDefault="00772FA0" w:rsidP="00772FA0">
            <w:pPr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</w:pPr>
            <w:r w:rsidRPr="00051914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Стимулировать развитие речи, мышление и внимание через игровую деятельность</w:t>
            </w:r>
            <w:r w:rsidRPr="00051914">
              <w:rPr>
                <w:rFonts w:asciiTheme="majorBidi" w:eastAsia="Times New Roman" w:hAnsiTheme="majorBidi" w:cstheme="majorBidi"/>
                <w:color w:val="242424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125E35C6" w14:textId="77777777" w:rsidR="00772FA0" w:rsidRPr="00051914" w:rsidRDefault="00772FA0" w:rsidP="00772FA0">
            <w:pPr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051914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развивать зрительно-моторную координацию;</w:t>
            </w:r>
          </w:p>
          <w:p w14:paraId="4341AD4B" w14:textId="1F38F139" w:rsidR="00772FA0" w:rsidRPr="00051914" w:rsidRDefault="00772FA0" w:rsidP="00772FA0">
            <w:pPr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051914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 xml:space="preserve"> </w:t>
            </w:r>
            <w:r w:rsidR="00706EF2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 xml:space="preserve">Развивать </w:t>
            </w:r>
            <w:r w:rsidRPr="00051914">
              <w:rPr>
                <w:rFonts w:asciiTheme="majorBidi" w:eastAsiaTheme="minorEastAsia" w:hAnsiTheme="majorBidi" w:cstheme="majorBidi"/>
                <w:color w:val="242424"/>
                <w:kern w:val="2"/>
                <w:sz w:val="24"/>
                <w:szCs w:val="24"/>
                <w:shd w:val="clear" w:color="auto" w:fill="FFFFFF"/>
                <w:lang w:eastAsia="zh-CN"/>
                <w14:ligatures w14:val="standardContextual"/>
              </w:rPr>
              <w:t>зрительное восприятие;</w:t>
            </w:r>
          </w:p>
        </w:tc>
      </w:tr>
      <w:tr w:rsidR="00772FA0" w:rsidRPr="00772FA0" w14:paraId="695A9CB5" w14:textId="77777777" w:rsidTr="00183A7E">
        <w:tc>
          <w:tcPr>
            <w:tcW w:w="3957" w:type="dxa"/>
            <w:vMerge w:val="restart"/>
          </w:tcPr>
          <w:p w14:paraId="38C48082" w14:textId="213A2D5A" w:rsidR="00772FA0" w:rsidRPr="00051914" w:rsidRDefault="00772FA0" w:rsidP="002D2021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051914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Описание вариантов игровых заданий:</w:t>
            </w:r>
          </w:p>
        </w:tc>
        <w:tc>
          <w:tcPr>
            <w:tcW w:w="5388" w:type="dxa"/>
          </w:tcPr>
          <w:p w14:paraId="04580B52" w14:textId="77777777" w:rsidR="00051914" w:rsidRDefault="00772FA0" w:rsidP="00051914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zh-CN"/>
              </w:rPr>
              <w:t>Оборудование:</w:t>
            </w:r>
          </w:p>
          <w:p w14:paraId="77894CF7" w14:textId="23EE3445" w:rsidR="00772FA0" w:rsidRPr="00051914" w:rsidRDefault="00772FA0" w:rsidP="00051914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Calibri" w:hAnsiTheme="majorBidi" w:cstheme="majorBidi"/>
                <w:sz w:val="24"/>
                <w:szCs w:val="24"/>
                <w:lang w:eastAsia="zh-CN"/>
              </w:rPr>
              <w:t xml:space="preserve"> Два круга: один с названием «Овощи», второй— «Фрукты». Каждый круг имеет сектор изображениями различных овощей и фруктов. Вращающийся механизм в центре круга, чтобы дети могли крутить.</w:t>
            </w:r>
          </w:p>
        </w:tc>
      </w:tr>
      <w:tr w:rsidR="00772FA0" w:rsidRPr="00772FA0" w14:paraId="2805CCC5" w14:textId="77777777" w:rsidTr="00051914">
        <w:trPr>
          <w:trHeight w:val="6795"/>
        </w:trPr>
        <w:tc>
          <w:tcPr>
            <w:tcW w:w="3957" w:type="dxa"/>
            <w:vMerge/>
          </w:tcPr>
          <w:p w14:paraId="543ACB0E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14:paraId="6E8CC93A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Ход</w:t>
            </w: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игры: </w:t>
            </w:r>
          </w:p>
          <w:p w14:paraId="2A109A8D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Подготовка: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Воспитатель рассказывает детям, что они будут крутить круг, на котором изображены овощи и фрукты. Когда круг остановится, дети должны назвать выпавший предмет.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Этап 1: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Узнавание предметов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Ребёнок крутит круг и, когда круг останавливается, должен назвать овощ или фрукт, который выпал на секторе. Например, если это «морковь», ребёнок говорит: «Это морковь».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Этап 2: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Описание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Для усложнения игры на следующем этапе ребёнок должен не только назвать овощ или фрукт, но и кратко его описать. Например: «Это морковь. Она длинная и оранжевая».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Можно добавить такие вопросы: «Какого цвета? Где растёт?» или «Чем полезна?».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Этап 3: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Составление предложений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После того как ребёнок назвал и описал предмет, следующий шаг — составить с ним предложение. Например: «Я люблю морковь, потому что она вкусная и полезная».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Воспитатель может предложить другим детям 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придумать свои предложения с этим же предметом.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Этап 4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: Составление синквейна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Для старших детей (5-7 лет) можно усложнить игру, предложив составить синквейн (стихотворная форма из 5 строк).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Пример синквейна: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Морковь (существительное)</w:t>
            </w:r>
          </w:p>
          <w:p w14:paraId="5A05DD07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Оранжевая, длинная (два прилагательных)</w:t>
            </w:r>
          </w:p>
          <w:p w14:paraId="6493F9D5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Растёт, помогает, очищает (три глагола)</w:t>
            </w:r>
          </w:p>
          <w:p w14:paraId="21183FCC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Очень полезна для глаз (предложение)</w:t>
            </w:r>
          </w:p>
          <w:p w14:paraId="4CFB8DC1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Овощ (синоним).</w:t>
            </w:r>
          </w:p>
          <w:p w14:paraId="08B242C1" w14:textId="77777777" w:rsidR="00772FA0" w:rsidRPr="00051914" w:rsidRDefault="00772FA0" w:rsidP="00772FA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Этап 5: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Обратный счёт</w:t>
            </w:r>
          </w:p>
          <w:p w14:paraId="55AB4F15" w14:textId="77777777" w:rsidR="00772FA0" w:rsidRPr="00051914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На следующем уровне сложности можно использовать круг с фруктами и овощами для обратного счёта: дети должны крутить круг и называть выпавший фрукт или овощ, а затем составить предложения, начиная с конца: например, "Я не люблю морковь, но ем её, потому что она полезная".</w:t>
            </w:r>
          </w:p>
        </w:tc>
      </w:tr>
      <w:tr w:rsidR="00772FA0" w:rsidRPr="00772FA0" w14:paraId="7950A0AF" w14:textId="77777777" w:rsidTr="00183A7E">
        <w:trPr>
          <w:trHeight w:val="4810"/>
        </w:trPr>
        <w:tc>
          <w:tcPr>
            <w:tcW w:w="3957" w:type="dxa"/>
          </w:tcPr>
          <w:p w14:paraId="018D69E0" w14:textId="77777777" w:rsidR="00772FA0" w:rsidRPr="00772FA0" w:rsidRDefault="00772FA0" w:rsidP="00772FA0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14:paraId="292374B8" w14:textId="77777777" w:rsidR="00772FA0" w:rsidRPr="00051914" w:rsidRDefault="00772FA0" w:rsidP="002D202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zh-CN"/>
              </w:rPr>
            </w:pPr>
            <w:r w:rsidRPr="0005191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Ожидаемый результат: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4617D370" wp14:editId="1B17501F">
                  <wp:extent cx="152400" cy="152400"/>
                  <wp:effectExtent l="0" t="0" r="0" b="0"/>
                  <wp:docPr id="1" name="Рисунок 4" descr="1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Дети научатся классифицировать и различать овощи и фрукты.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68698655" wp14:editId="33535940">
                  <wp:extent cx="152400" cy="152400"/>
                  <wp:effectExtent l="0" t="0" r="0" b="0"/>
                  <wp:docPr id="2144486909" name="Рисунок 3" descr="2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Разовьются навыки описания предметов, составления предложений и текстов, таких как синквейны.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1F93B515" wp14:editId="0096AF63">
                  <wp:extent cx="152400" cy="152400"/>
                  <wp:effectExtent l="0" t="0" r="0" b="0"/>
                  <wp:docPr id="3" name="Рисунок 2" descr="3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Улучшатся речь, внимание и способность концентрироваться на задании.</w:t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zh-CN"/>
              </w:rPr>
              <w:br/>
            </w:r>
            <w:r w:rsidRPr="00051914"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2FD32AC1" wp14:editId="531BF406">
                  <wp:extent cx="152400" cy="152400"/>
                  <wp:effectExtent l="0" t="0" r="0" b="0"/>
                  <wp:docPr id="4" name="Рисунок 1" descr="4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Дети научатся креативно и интересно излагать свои мысли, развивая фантазию и словарный запас.</w:t>
            </w:r>
          </w:p>
          <w:p w14:paraId="50416F1E" w14:textId="77777777" w:rsidR="00772FA0" w:rsidRPr="00051914" w:rsidRDefault="00772FA0" w:rsidP="002D2021">
            <w:pPr>
              <w:spacing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5191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eastAsia="zh-CN"/>
              </w:rPr>
              <w:t>Эта игра помогает детям на разных уровнях сложности развивать не только базовые знания о предметах, но и более глубокие навыки речи, логики и творчества.</w:t>
            </w:r>
          </w:p>
        </w:tc>
      </w:tr>
    </w:tbl>
    <w:p w14:paraId="38DB57F6" w14:textId="77777777" w:rsidR="00425BCE" w:rsidRPr="00C839FE" w:rsidRDefault="00425BCE" w:rsidP="00C839FE"/>
    <w:sectPr w:rsidR="00425BCE" w:rsidRPr="00C839FE" w:rsidSect="002D2021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41BA" w14:textId="77777777" w:rsidR="00610EB2" w:rsidRDefault="00610EB2" w:rsidP="00212440">
      <w:pPr>
        <w:spacing w:after="0" w:line="240" w:lineRule="auto"/>
      </w:pPr>
      <w:r>
        <w:separator/>
      </w:r>
    </w:p>
  </w:endnote>
  <w:endnote w:type="continuationSeparator" w:id="0">
    <w:p w14:paraId="592B1766" w14:textId="77777777" w:rsidR="00610EB2" w:rsidRDefault="00610EB2" w:rsidP="0021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CE4D" w14:textId="77777777" w:rsidR="00610EB2" w:rsidRDefault="00610EB2" w:rsidP="00212440">
      <w:pPr>
        <w:spacing w:after="0" w:line="240" w:lineRule="auto"/>
      </w:pPr>
      <w:r>
        <w:separator/>
      </w:r>
    </w:p>
  </w:footnote>
  <w:footnote w:type="continuationSeparator" w:id="0">
    <w:p w14:paraId="6944E0FA" w14:textId="77777777" w:rsidR="00610EB2" w:rsidRDefault="00610EB2" w:rsidP="0021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743D"/>
    <w:multiLevelType w:val="hybridMultilevel"/>
    <w:tmpl w:val="2A3E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CE"/>
    <w:rsid w:val="00051914"/>
    <w:rsid w:val="00212440"/>
    <w:rsid w:val="002D2021"/>
    <w:rsid w:val="00425BCE"/>
    <w:rsid w:val="00485953"/>
    <w:rsid w:val="00610EB2"/>
    <w:rsid w:val="00706EF2"/>
    <w:rsid w:val="00772FA0"/>
    <w:rsid w:val="009462B5"/>
    <w:rsid w:val="00AB56B3"/>
    <w:rsid w:val="00C839FE"/>
    <w:rsid w:val="00F1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B57C5"/>
  <w15:chartTrackingRefBased/>
  <w15:docId w15:val="{E0FAF923-04AA-4B7A-BCB6-98E00F01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4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B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B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B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B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BC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440"/>
  </w:style>
  <w:style w:type="paragraph" w:styleId="ae">
    <w:name w:val="footer"/>
    <w:basedOn w:val="a"/>
    <w:link w:val="af"/>
    <w:uiPriority w:val="99"/>
    <w:unhideWhenUsed/>
    <w:rsid w:val="0021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440"/>
  </w:style>
  <w:style w:type="table" w:styleId="af0">
    <w:name w:val="Table Grid"/>
    <w:basedOn w:val="a1"/>
    <w:uiPriority w:val="39"/>
    <w:rsid w:val="0021244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21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8</cp:revision>
  <dcterms:created xsi:type="dcterms:W3CDTF">2025-09-16T08:16:00Z</dcterms:created>
  <dcterms:modified xsi:type="dcterms:W3CDTF">2025-09-19T07:53:00Z</dcterms:modified>
</cp:coreProperties>
</file>